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B6" w:rsidRDefault="009477B6" w:rsidP="00CB7E6F"/>
    <w:p w:rsidR="009477B6" w:rsidRDefault="009477B6" w:rsidP="00CB7E6F"/>
    <w:p w:rsidR="009477B6" w:rsidRDefault="009477B6" w:rsidP="00CB7E6F"/>
    <w:p w:rsidR="009477B6" w:rsidRDefault="009477B6" w:rsidP="00CB7E6F"/>
    <w:p w:rsidR="009477B6" w:rsidRDefault="009477B6" w:rsidP="00CB7E6F"/>
    <w:p w:rsidR="009477B6" w:rsidRDefault="009477B6" w:rsidP="00CB7E6F"/>
    <w:p w:rsidR="009477B6" w:rsidRDefault="009477B6" w:rsidP="00CB7E6F"/>
    <w:p w:rsidR="009477B6" w:rsidRDefault="009477B6" w:rsidP="00CB7E6F"/>
    <w:p w:rsidR="009477B6" w:rsidRDefault="009477B6" w:rsidP="00CB7E6F"/>
    <w:p w:rsidR="009477B6" w:rsidRDefault="009477B6" w:rsidP="00CB7E6F"/>
    <w:p w:rsidR="009477B6" w:rsidRDefault="009477B6" w:rsidP="00CB7E6F"/>
    <w:p w:rsidR="009477B6" w:rsidRDefault="009477B6" w:rsidP="00CB7E6F"/>
    <w:p w:rsidR="009477B6" w:rsidRDefault="009477B6" w:rsidP="009477B6">
      <w:pPr>
        <w:ind w:firstLine="0"/>
      </w:pPr>
    </w:p>
    <w:p w:rsidR="009477B6" w:rsidRDefault="009477B6" w:rsidP="00CB7E6F"/>
    <w:p w:rsidR="009477B6" w:rsidRDefault="009477B6" w:rsidP="00CB7E6F"/>
    <w:p w:rsidR="00CB7E6F" w:rsidRPr="009477B6" w:rsidRDefault="00CB7E6F" w:rsidP="009477B6">
      <w:pPr>
        <w:jc w:val="center"/>
        <w:rPr>
          <w:b/>
          <w:sz w:val="28"/>
        </w:rPr>
      </w:pPr>
      <w:r w:rsidRPr="009477B6">
        <w:rPr>
          <w:b/>
          <w:sz w:val="28"/>
        </w:rPr>
        <w:t>Методические рекомендации для проведения муниципального этапа «Всероссийской олимпиады школьников по химии»</w:t>
      </w:r>
    </w:p>
    <w:p w:rsidR="00CB7E6F" w:rsidRPr="00CB7E6F" w:rsidRDefault="00CB7E6F" w:rsidP="00CB7E6F">
      <w:pPr>
        <w:pStyle w:val="1"/>
      </w:pPr>
      <w:r>
        <w:br w:type="page"/>
      </w:r>
    </w:p>
    <w:p w:rsidR="007B603F" w:rsidRPr="007B603F" w:rsidRDefault="007B603F" w:rsidP="007B603F">
      <w:pPr>
        <w:pStyle w:val="1"/>
      </w:pPr>
      <w:r>
        <w:t>Общие п</w:t>
      </w:r>
      <w:r w:rsidR="00CB7E6F">
        <w:t>оложения о</w:t>
      </w:r>
      <w:r>
        <w:t>лимпиады</w:t>
      </w:r>
    </w:p>
    <w:p w:rsidR="007B603F" w:rsidRDefault="007B603F" w:rsidP="007B603F">
      <w:r>
        <w:t>В муниципальном этапе Всероссийской олимпиады принимают индивидуальное участие обучающиеся 7–11 классов:</w:t>
      </w:r>
    </w:p>
    <w:p w:rsidR="007B603F" w:rsidRDefault="007B603F" w:rsidP="007B603F">
      <w:r>
        <w:t>а) участники школьного этапа олимпиады текущего учебного года, набравшие на школьном этапе необходимое для участия в муниципальном этапе количество баллов, установленное организатором муниципального этапа олимпиады;</w:t>
      </w:r>
    </w:p>
    <w:p w:rsidR="007B603F" w:rsidRDefault="007B603F" w:rsidP="007B603F">
      <w:r>
        <w:t>б)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B603F" w:rsidRDefault="007B603F" w:rsidP="007B603F">
      <w:r w:rsidRPr="007B603F">
        <w:t xml:space="preserve">Согласно </w:t>
      </w:r>
      <w:r>
        <w:t>«</w:t>
      </w:r>
      <w:r w:rsidRPr="007B603F">
        <w:t>Порядку проведения Всероссийской олимпиады школьников</w:t>
      </w:r>
      <w:r>
        <w:t>»</w:t>
      </w:r>
      <w:r w:rsidRPr="007B603F">
        <w:t xml:space="preserve"> муниципальный этап олимпиады проводит</w:t>
      </w:r>
      <w:r>
        <w:t>ся</w:t>
      </w:r>
      <w:r w:rsidRPr="007B603F">
        <w:t xml:space="preserve"> </w:t>
      </w:r>
      <w:r>
        <w:t>образовательными организациями в соответствующий срок</w:t>
      </w:r>
      <w:r w:rsidRPr="007B603F">
        <w:t xml:space="preserve"> по олимпиадным заданиям для 7</w:t>
      </w:r>
      <w:r>
        <w:t>–</w:t>
      </w:r>
      <w:r w:rsidRPr="007B603F">
        <w:t xml:space="preserve">11 классов, разработанным предметно-методической комиссией регионального этапа с учетом методических рекомендаций центральной методической комиссии по химии. </w:t>
      </w:r>
    </w:p>
    <w:p w:rsidR="007B603F" w:rsidRDefault="007B603F" w:rsidP="007B603F">
      <w:r w:rsidRPr="007B603F">
        <w:t>Информационная поддержка муниципального этапа олимпиады заключается в широком оповещении через сайт образовательного учреждения, социальные сети и другие средства информационно-коммуникационных технологий, а также через методические объединения учителей и преподавателей естественнонаучного цикла.</w:t>
      </w:r>
    </w:p>
    <w:p w:rsidR="00D80DB2" w:rsidRDefault="00CB7E6F" w:rsidP="00543BA3">
      <w:r>
        <w:t>Муниципальный этап о</w:t>
      </w:r>
      <w:r w:rsidR="00543BA3" w:rsidRPr="00543BA3">
        <w:t>лимпиады по химии для</w:t>
      </w:r>
      <w:r w:rsidR="00543BA3">
        <w:t xml:space="preserve"> всех параллелей проводится в один тур в сроки, установленные «Порядком проведения </w:t>
      </w:r>
      <w:proofErr w:type="spellStart"/>
      <w:r w:rsidR="00543BA3">
        <w:t>Всероссийскои</w:t>
      </w:r>
      <w:proofErr w:type="spellEnd"/>
      <w:r w:rsidR="00543BA3">
        <w:t>̆ олимпиады школьников». Длительность теоретического тура составляет 4 астрономических часа. Для облегчения проведения муниципального этапа задания включают в себя 5 теоретических задач, в том числе в каждой параллели</w:t>
      </w:r>
      <w:r w:rsidR="00D80DB2">
        <w:t xml:space="preserve"> одно</w:t>
      </w:r>
      <w:r w:rsidR="00543BA3">
        <w:t xml:space="preserve"> из </w:t>
      </w:r>
      <w:r w:rsidR="00D80DB2">
        <w:t>заданий</w:t>
      </w:r>
      <w:r w:rsidR="00543BA3">
        <w:t xml:space="preserve"> является «мысленным экспериментом».  </w:t>
      </w:r>
    </w:p>
    <w:p w:rsidR="00D80DB2" w:rsidRDefault="00D80DB2">
      <w:pPr>
        <w:spacing w:after="160" w:line="259" w:lineRule="auto"/>
        <w:ind w:firstLine="0"/>
        <w:jc w:val="left"/>
      </w:pPr>
      <w:r>
        <w:br w:type="page"/>
      </w:r>
    </w:p>
    <w:p w:rsidR="007B603F" w:rsidRPr="007B603F" w:rsidRDefault="00D80DB2" w:rsidP="00D80DB2">
      <w:pPr>
        <w:pStyle w:val="1"/>
      </w:pPr>
      <w:r>
        <w:t>Порядок проведения тура олимпиады</w:t>
      </w:r>
    </w:p>
    <w:p w:rsidR="00D36F2D" w:rsidRPr="00D36F2D" w:rsidRDefault="00D36F2D" w:rsidP="00D80DB2">
      <w:pPr>
        <w:rPr>
          <w:b/>
          <w:i/>
        </w:rPr>
      </w:pPr>
      <w:r w:rsidRPr="00D36F2D">
        <w:rPr>
          <w:b/>
          <w:i/>
        </w:rPr>
        <w:t>О правах и обязанностях участников</w:t>
      </w:r>
    </w:p>
    <w:p w:rsidR="007B603F" w:rsidRDefault="00D80DB2" w:rsidP="00D80DB2">
      <w:r w:rsidRPr="00D80DB2">
        <w:t>Проведению олимпиады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w:t>
      </w:r>
    </w:p>
    <w:p w:rsidR="0065260B" w:rsidRDefault="0065260B" w:rsidP="0065260B">
      <w:r>
        <w:t xml:space="preserve">Участник имеет право иметь при себе </w:t>
      </w:r>
      <w:r w:rsidR="00D80DB2" w:rsidRPr="00D80DB2">
        <w:t>ручки синего или черного цвета, может взять инженерный калькулятор, прохладительные напитки в прозрачной упаковке, шоколад.</w:t>
      </w:r>
      <w:r>
        <w:t xml:space="preserve"> На рабочее место участникам категорически запрещается брать бумагу, справочные материалы, средства сотовой связи; участники не вправе общаться друг с другом, свободно передвигаться по аудитории.</w:t>
      </w:r>
    </w:p>
    <w:p w:rsidR="0065260B" w:rsidRDefault="0065260B" w:rsidP="0065260B">
      <w:r>
        <w:t>Для проведения олимпиады необходимы аудитории (школьные классы), в которых каждому участнику должно быть предоставлено отдельное рабочее место, в отдельных случаях за одной партой могут находиться два участника</w:t>
      </w:r>
      <w:r w:rsidR="008C59B3">
        <w:t xml:space="preserve"> из разных параллелей</w:t>
      </w:r>
      <w:r>
        <w:t xml:space="preserve">. План (схема) размещения участников составляется оргкомитетом, </w:t>
      </w:r>
      <w:r w:rsidRPr="0065260B">
        <w:rPr>
          <w:u w:val="single"/>
        </w:rPr>
        <w:t>исключая возможность того, что рядом окажутся учащиеся из одной возрастной параллели и из одного образовательного учреждения</w:t>
      </w:r>
      <w:r>
        <w:t>.</w:t>
      </w:r>
    </w:p>
    <w:p w:rsidR="00D80DB2" w:rsidRDefault="0065260B" w:rsidP="0065260B">
      <w:r>
        <w:t xml:space="preserve">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температуру 20–22 </w:t>
      </w:r>
      <w:r>
        <w:rPr>
          <w:rFonts w:cs="Times New Roman"/>
        </w:rPr>
        <w:t>°</w:t>
      </w:r>
      <w:r>
        <w:t>С, влажность 40–60%.</w:t>
      </w:r>
    </w:p>
    <w:p w:rsidR="00090A5C" w:rsidRDefault="00090A5C" w:rsidP="00090A5C">
      <w:r w:rsidRPr="00090A5C">
        <w:t>Задания каждого из комплектов составлены в одном варианте, поэтому участники должны сидеть по одному за столом (партой), максимум по двое, но при условии выполнения плана (схемы) рассадки.</w:t>
      </w:r>
    </w:p>
    <w:p w:rsidR="00090A5C" w:rsidRDefault="00090A5C" w:rsidP="00090A5C">
      <w:r w:rsidRPr="00090A5C">
        <w:t>Вместе с заданиями каждый участник получает необходимую справочную информацию для их выполнения (периодическую систему, таблицу растворимости, электрохимический ряд напряжений металлов).</w:t>
      </w:r>
    </w:p>
    <w:p w:rsidR="00090A5C" w:rsidRDefault="00090A5C" w:rsidP="00090A5C">
      <w:r w:rsidRPr="00090A5C">
        <w:t>Во время проведения олимпиады участник может выходить из аудитории</w:t>
      </w:r>
      <w:r w:rsidR="00943A51">
        <w:t xml:space="preserve"> в сопровождении</w:t>
      </w:r>
      <w:r w:rsidRPr="00090A5C">
        <w:t>. При этом работа в обязательном порядке остается в аудитории. На ее обложке делается пометка о времени выхода и возвращения учащегося.</w:t>
      </w:r>
    </w:p>
    <w:p w:rsidR="00D36F2D" w:rsidRPr="00D36F2D" w:rsidRDefault="00D36F2D" w:rsidP="00090A5C">
      <w:pPr>
        <w:rPr>
          <w:b/>
          <w:i/>
        </w:rPr>
      </w:pPr>
      <w:r w:rsidRPr="00D36F2D">
        <w:rPr>
          <w:b/>
          <w:i/>
        </w:rPr>
        <w:t>Организационному комитету</w:t>
      </w:r>
    </w:p>
    <w:p w:rsidR="00090A5C" w:rsidRDefault="00DE0CCD" w:rsidP="00090A5C">
      <w:r>
        <w:t xml:space="preserve">Для дежурного в аудитории важно проверить правильность написания данных участников до выхода их из аудитории по завершению тура. Также в обязанность дежурных входит оповещение участников о начале и конце тура. Оставшееся время необходимо сообщать не </w:t>
      </w:r>
      <w:r w:rsidR="00EB7AD3">
        <w:t xml:space="preserve">реже раза в час, при этом особо обратить внимание участников на оставшееся время на </w:t>
      </w:r>
      <w:r w:rsidR="00414567">
        <w:t>написание заданий</w:t>
      </w:r>
      <w:r w:rsidR="00EB7AD3">
        <w:t xml:space="preserve"> в последние полчаса. </w:t>
      </w:r>
      <w:r w:rsidR="00414567">
        <w:t xml:space="preserve">По окончании тура необходимо уведомить участников </w:t>
      </w:r>
      <w:r w:rsidR="00F20EE9">
        <w:t>о месте</w:t>
      </w:r>
      <w:r w:rsidR="00414567">
        <w:t>/информационном портале размещения решений на задания.</w:t>
      </w:r>
    </w:p>
    <w:p w:rsidR="00A9057B" w:rsidRDefault="00A9057B" w:rsidP="00A9057B">
      <w:r>
        <w:t xml:space="preserve">Ответы участников на задания теоретических туров перед началом проверки кодируются представителями оргкомитета. Конфиденциальность данной информации является основным принципом проверки теоретических туров </w:t>
      </w:r>
      <w:r w:rsidR="00CB7E6F">
        <w:t>о</w:t>
      </w:r>
      <w:r>
        <w:t>лимпиады.</w:t>
      </w:r>
    </w:p>
    <w:p w:rsidR="00A9057B" w:rsidRDefault="00A9057B" w:rsidP="00A9057B">
      <w:r>
        <w:t xml:space="preserve">Для кодирования и декодирования работ Оргкомитетом создается специальная </w:t>
      </w:r>
      <w:r w:rsidR="00671474">
        <w:t xml:space="preserve">шифровальная </w:t>
      </w:r>
      <w:r>
        <w:t>комиссия в количестве не менее двух человек, один из которых является председателем.</w:t>
      </w:r>
    </w:p>
    <w:p w:rsidR="00A9057B" w:rsidRDefault="00A9057B" w:rsidP="00A9057B">
      <w:r>
        <w:t>После окончания каждого теорети</w:t>
      </w:r>
      <w:r w:rsidR="00CB7E6F">
        <w:t>ческого тура работы участников о</w:t>
      </w:r>
      <w:r>
        <w:t>лимпиады отдельно по каждому классу передаются шифровальной комиссии на кодирование. Для показа работ шифровальная комиссия декодирует работы.</w:t>
      </w:r>
    </w:p>
    <w:p w:rsidR="00A9057B" w:rsidRDefault="00A9057B" w:rsidP="00A9057B">
      <w:r>
        <w:t xml:space="preserve">Работа по кодированию, проверке и процедура внесения баллов в базу данных должны быть организованы так, чтобы полная информация о рейтинге каждого участника заключительного этапа </w:t>
      </w:r>
      <w:r w:rsidR="00CB7E6F">
        <w:t>о</w:t>
      </w:r>
      <w:r>
        <w:t>лимпиады была доступна только членам шифровальной комиссии.</w:t>
      </w:r>
    </w:p>
    <w:p w:rsidR="00D36F2D" w:rsidRDefault="00D36F2D" w:rsidP="00A9057B">
      <w:r>
        <w:t>Перед оцениванием работ проверяющие тщательно знакомятся с решениями. При малейшем несоответствии/ошибке связываются непосредственно с лицом, ответственным за составление заданий</w:t>
      </w:r>
      <w:r w:rsidR="002A7C8F">
        <w:t>, контактные данные которых указаны в информационной таблице</w:t>
      </w:r>
      <w:r>
        <w:t>, или областным организационным центром. Отзывы как положительные, так и с конструктивной критикой о заданиях приветствуются.</w:t>
      </w:r>
    </w:p>
    <w:p w:rsidR="00D36F2D" w:rsidRDefault="00A442B2" w:rsidP="00A9057B">
      <w:r w:rsidRPr="009E6CC0">
        <w:t>Для</w:t>
      </w:r>
      <w:r w:rsidRPr="00A442B2">
        <w:t xml:space="preserve"> каждой возрастной параллели члены жюри заполняют оценочные ведомости</w:t>
      </w:r>
      <w:r>
        <w:t xml:space="preserve"> следующего характера:</w:t>
      </w:r>
    </w:p>
    <w:tbl>
      <w:tblPr>
        <w:tblStyle w:val="af3"/>
        <w:tblW w:w="0" w:type="auto"/>
        <w:tblLook w:val="04A0" w:firstRow="1" w:lastRow="0" w:firstColumn="1" w:lastColumn="0" w:noHBand="0" w:noVBand="1"/>
      </w:tblPr>
      <w:tblGrid>
        <w:gridCol w:w="9627"/>
      </w:tblGrid>
      <w:tr w:rsidR="00A442B2" w:rsidTr="00A442B2">
        <w:trPr>
          <w:trHeight w:val="2381"/>
        </w:trPr>
        <w:tc>
          <w:tcPr>
            <w:tcW w:w="9627" w:type="dxa"/>
            <w:vAlign w:val="center"/>
          </w:tcPr>
          <w:p w:rsidR="00A442B2" w:rsidRPr="00A442B2" w:rsidRDefault="00A442B2" w:rsidP="00A442B2">
            <w:pPr>
              <w:ind w:firstLine="0"/>
              <w:jc w:val="center"/>
              <w:rPr>
                <w:i/>
              </w:rPr>
            </w:pPr>
            <w:r w:rsidRPr="00A442B2">
              <w:rPr>
                <w:i/>
              </w:rPr>
              <w:t>Лист проверки муниципального</w:t>
            </w:r>
            <w:r>
              <w:rPr>
                <w:i/>
              </w:rPr>
              <w:t xml:space="preserve"> этапа ВСОШ по химии                                           ____ класс</w:t>
            </w:r>
          </w:p>
          <w:tbl>
            <w:tblPr>
              <w:tblStyle w:val="af3"/>
              <w:tblW w:w="0" w:type="auto"/>
              <w:tblLook w:val="04A0" w:firstRow="1" w:lastRow="0" w:firstColumn="1" w:lastColumn="0" w:noHBand="0" w:noVBand="1"/>
            </w:tblPr>
            <w:tblGrid>
              <w:gridCol w:w="1566"/>
              <w:gridCol w:w="1567"/>
              <w:gridCol w:w="1567"/>
              <w:gridCol w:w="1567"/>
              <w:gridCol w:w="1567"/>
              <w:gridCol w:w="1567"/>
            </w:tblGrid>
            <w:tr w:rsidR="00A442B2" w:rsidTr="00A442B2">
              <w:tc>
                <w:tcPr>
                  <w:tcW w:w="1566" w:type="dxa"/>
                </w:tcPr>
                <w:p w:rsidR="00A442B2" w:rsidRPr="00A442B2" w:rsidRDefault="00A442B2" w:rsidP="00A442B2">
                  <w:pPr>
                    <w:ind w:firstLine="0"/>
                    <w:jc w:val="center"/>
                    <w:rPr>
                      <w:b/>
                    </w:rPr>
                  </w:pPr>
                  <w:r w:rsidRPr="00A442B2">
                    <w:rPr>
                      <w:b/>
                    </w:rPr>
                    <w:t>Код участника</w:t>
                  </w:r>
                </w:p>
              </w:tc>
              <w:tc>
                <w:tcPr>
                  <w:tcW w:w="1567" w:type="dxa"/>
                </w:tcPr>
                <w:p w:rsidR="00A442B2" w:rsidRPr="00A442B2" w:rsidRDefault="00A442B2" w:rsidP="00A442B2">
                  <w:pPr>
                    <w:ind w:firstLine="0"/>
                    <w:jc w:val="center"/>
                    <w:rPr>
                      <w:b/>
                    </w:rPr>
                  </w:pPr>
                  <w:r w:rsidRPr="00A442B2">
                    <w:rPr>
                      <w:b/>
                    </w:rPr>
                    <w:t>Задача 1</w:t>
                  </w:r>
                </w:p>
              </w:tc>
              <w:tc>
                <w:tcPr>
                  <w:tcW w:w="1567" w:type="dxa"/>
                </w:tcPr>
                <w:p w:rsidR="00A442B2" w:rsidRPr="00A442B2" w:rsidRDefault="00A442B2" w:rsidP="00A442B2">
                  <w:pPr>
                    <w:ind w:firstLine="0"/>
                    <w:jc w:val="center"/>
                    <w:rPr>
                      <w:b/>
                    </w:rPr>
                  </w:pPr>
                  <w:r w:rsidRPr="00A442B2">
                    <w:rPr>
                      <w:b/>
                    </w:rPr>
                    <w:t>Задача 2</w:t>
                  </w:r>
                </w:p>
              </w:tc>
              <w:tc>
                <w:tcPr>
                  <w:tcW w:w="1567" w:type="dxa"/>
                </w:tcPr>
                <w:p w:rsidR="00A442B2" w:rsidRPr="00A442B2" w:rsidRDefault="00A442B2" w:rsidP="00A442B2">
                  <w:pPr>
                    <w:ind w:firstLine="0"/>
                    <w:jc w:val="center"/>
                    <w:rPr>
                      <w:b/>
                    </w:rPr>
                  </w:pPr>
                  <w:r w:rsidRPr="00A442B2">
                    <w:rPr>
                      <w:b/>
                    </w:rPr>
                    <w:t>Задача 3</w:t>
                  </w:r>
                </w:p>
              </w:tc>
              <w:tc>
                <w:tcPr>
                  <w:tcW w:w="1567" w:type="dxa"/>
                </w:tcPr>
                <w:p w:rsidR="00A442B2" w:rsidRPr="00A442B2" w:rsidRDefault="00A442B2" w:rsidP="00A442B2">
                  <w:pPr>
                    <w:ind w:firstLine="0"/>
                    <w:jc w:val="center"/>
                    <w:rPr>
                      <w:b/>
                    </w:rPr>
                  </w:pPr>
                  <w:r w:rsidRPr="00A442B2">
                    <w:rPr>
                      <w:b/>
                    </w:rPr>
                    <w:t>Задача 4</w:t>
                  </w:r>
                </w:p>
              </w:tc>
              <w:tc>
                <w:tcPr>
                  <w:tcW w:w="1567" w:type="dxa"/>
                </w:tcPr>
                <w:p w:rsidR="00A442B2" w:rsidRPr="00A442B2" w:rsidRDefault="00A442B2" w:rsidP="00A442B2">
                  <w:pPr>
                    <w:ind w:firstLine="0"/>
                    <w:jc w:val="center"/>
                    <w:rPr>
                      <w:b/>
                    </w:rPr>
                  </w:pPr>
                  <w:r w:rsidRPr="00A442B2">
                    <w:rPr>
                      <w:b/>
                    </w:rPr>
                    <w:t>Задача 5</w:t>
                  </w:r>
                </w:p>
              </w:tc>
            </w:tr>
            <w:tr w:rsidR="00A442B2" w:rsidTr="00A442B2">
              <w:tc>
                <w:tcPr>
                  <w:tcW w:w="1566" w:type="dxa"/>
                </w:tcPr>
                <w:p w:rsidR="00A442B2" w:rsidRDefault="00A442B2" w:rsidP="00A442B2">
                  <w:pPr>
                    <w:ind w:firstLine="0"/>
                    <w:jc w:val="center"/>
                  </w:pPr>
                </w:p>
              </w:tc>
              <w:tc>
                <w:tcPr>
                  <w:tcW w:w="1567" w:type="dxa"/>
                </w:tcPr>
                <w:p w:rsidR="00A442B2" w:rsidRDefault="00A442B2" w:rsidP="00A442B2">
                  <w:pPr>
                    <w:ind w:firstLine="0"/>
                    <w:jc w:val="center"/>
                  </w:pPr>
                </w:p>
              </w:tc>
              <w:tc>
                <w:tcPr>
                  <w:tcW w:w="1567" w:type="dxa"/>
                </w:tcPr>
                <w:p w:rsidR="00A442B2" w:rsidRDefault="00A442B2" w:rsidP="00A442B2">
                  <w:pPr>
                    <w:ind w:firstLine="0"/>
                    <w:jc w:val="center"/>
                  </w:pPr>
                </w:p>
              </w:tc>
              <w:tc>
                <w:tcPr>
                  <w:tcW w:w="1567" w:type="dxa"/>
                </w:tcPr>
                <w:p w:rsidR="00A442B2" w:rsidRDefault="00A442B2" w:rsidP="00A442B2">
                  <w:pPr>
                    <w:ind w:firstLine="0"/>
                    <w:jc w:val="center"/>
                  </w:pPr>
                </w:p>
              </w:tc>
              <w:tc>
                <w:tcPr>
                  <w:tcW w:w="1567" w:type="dxa"/>
                </w:tcPr>
                <w:p w:rsidR="00A442B2" w:rsidRDefault="00A442B2" w:rsidP="00A442B2">
                  <w:pPr>
                    <w:ind w:firstLine="0"/>
                    <w:jc w:val="center"/>
                  </w:pPr>
                </w:p>
              </w:tc>
              <w:tc>
                <w:tcPr>
                  <w:tcW w:w="1567" w:type="dxa"/>
                </w:tcPr>
                <w:p w:rsidR="00A442B2" w:rsidRDefault="00A442B2" w:rsidP="00A442B2">
                  <w:pPr>
                    <w:ind w:firstLine="0"/>
                    <w:jc w:val="center"/>
                  </w:pPr>
                </w:p>
              </w:tc>
            </w:tr>
            <w:tr w:rsidR="00A442B2" w:rsidTr="00A442B2">
              <w:tc>
                <w:tcPr>
                  <w:tcW w:w="1566" w:type="dxa"/>
                </w:tcPr>
                <w:p w:rsidR="00A442B2" w:rsidRDefault="00A442B2" w:rsidP="00A442B2">
                  <w:pPr>
                    <w:ind w:firstLine="0"/>
                    <w:jc w:val="center"/>
                  </w:pPr>
                </w:p>
              </w:tc>
              <w:tc>
                <w:tcPr>
                  <w:tcW w:w="1567" w:type="dxa"/>
                </w:tcPr>
                <w:p w:rsidR="00A442B2" w:rsidRDefault="00A442B2" w:rsidP="00A442B2">
                  <w:pPr>
                    <w:ind w:firstLine="0"/>
                    <w:jc w:val="center"/>
                  </w:pPr>
                </w:p>
              </w:tc>
              <w:tc>
                <w:tcPr>
                  <w:tcW w:w="1567" w:type="dxa"/>
                </w:tcPr>
                <w:p w:rsidR="00A442B2" w:rsidRDefault="00A442B2" w:rsidP="00A442B2">
                  <w:pPr>
                    <w:ind w:firstLine="0"/>
                    <w:jc w:val="center"/>
                  </w:pPr>
                </w:p>
              </w:tc>
              <w:tc>
                <w:tcPr>
                  <w:tcW w:w="1567" w:type="dxa"/>
                </w:tcPr>
                <w:p w:rsidR="00A442B2" w:rsidRDefault="00A442B2" w:rsidP="00A442B2">
                  <w:pPr>
                    <w:ind w:firstLine="0"/>
                    <w:jc w:val="center"/>
                  </w:pPr>
                </w:p>
              </w:tc>
              <w:tc>
                <w:tcPr>
                  <w:tcW w:w="1567" w:type="dxa"/>
                </w:tcPr>
                <w:p w:rsidR="00A442B2" w:rsidRDefault="00A442B2" w:rsidP="00A442B2">
                  <w:pPr>
                    <w:ind w:firstLine="0"/>
                    <w:jc w:val="center"/>
                  </w:pPr>
                </w:p>
              </w:tc>
              <w:tc>
                <w:tcPr>
                  <w:tcW w:w="1567" w:type="dxa"/>
                </w:tcPr>
                <w:p w:rsidR="00A442B2" w:rsidRDefault="00A442B2" w:rsidP="00A442B2">
                  <w:pPr>
                    <w:ind w:firstLine="0"/>
                    <w:jc w:val="center"/>
                  </w:pPr>
                </w:p>
              </w:tc>
            </w:tr>
          </w:tbl>
          <w:p w:rsidR="00A442B2" w:rsidRDefault="00A442B2" w:rsidP="00A442B2">
            <w:pPr>
              <w:ind w:firstLine="0"/>
              <w:jc w:val="center"/>
            </w:pPr>
          </w:p>
        </w:tc>
      </w:tr>
    </w:tbl>
    <w:p w:rsidR="00A442B2" w:rsidRDefault="00A442B2" w:rsidP="00A9057B"/>
    <w:p w:rsidR="00A442B2" w:rsidRDefault="00633290" w:rsidP="00A9057B">
      <w:r w:rsidRPr="00633290">
        <w:t>По окончании туров участники должны иметь возможность ознакомиться с развернутыми решениями олимпиадных задач. Поэтому ЦПМК по химии настоятельно рекомендует публиковать развернутые решения и систему оценивания на сайтах организаторов муниципального этапа.</w:t>
      </w:r>
    </w:p>
    <w:p w:rsidR="00633290" w:rsidRDefault="00633290" w:rsidP="00A9057B">
      <w:r w:rsidRPr="00633290">
        <w:t>Подведение итогов проводится согласно принятому Порядку проведения Всероссийской олимпиады школьников.</w:t>
      </w:r>
    </w:p>
    <w:p w:rsidR="00CB7E6F" w:rsidRDefault="00CB7E6F" w:rsidP="00CB7E6F">
      <w:r>
        <w:t>1. Победители и призеры соответствующего этапа олимпиады определяются по результатам решения участниками задач. Итоговый результат каждого участника подсчитывается как сумма полученных этим участником баллов за решение каждой задачи.</w:t>
      </w:r>
    </w:p>
    <w:p w:rsidR="00CB7E6F" w:rsidRDefault="00CB7E6F" w:rsidP="00CB7E6F">
      <w:r>
        <w:t xml:space="preserve">2. </w:t>
      </w:r>
      <w:r w:rsidR="000261BA">
        <w:t xml:space="preserve">Промежуточные </w:t>
      </w:r>
      <w:r>
        <w:t>результаты проверки</w:t>
      </w:r>
      <w:r w:rsidR="000261BA">
        <w:t xml:space="preserve"> (баллы за каждую задачу), а также итоговые оценки</w:t>
      </w:r>
      <w:r>
        <w:t xml:space="preserve"> решений всех участников фиксируются в итоговой таблице (по каждой возрастной параллели </w:t>
      </w:r>
      <w:r w:rsidR="000261BA">
        <w:t>составляется отдельная таблица</w:t>
      </w:r>
      <w:r>
        <w:t>),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соответствующего этапа олимпиады.</w:t>
      </w:r>
    </w:p>
    <w:p w:rsidR="00CB7E6F" w:rsidRDefault="00CB7E6F" w:rsidP="00CB7E6F">
      <w:r>
        <w:t>3. Председатель жюри передает протокол по определению победителей и призеров в Оргкомитет для утверждения списка победителей и призеров соответствующего этапа олимпиады по химии.</w:t>
      </w:r>
    </w:p>
    <w:p w:rsidR="00CB7E6F" w:rsidRDefault="00CB7E6F" w:rsidP="00CB7E6F">
      <w:r>
        <w:t>4. Список всех участников соответствующего этапа олимпиады с указанием набранных ими баллов и типом полученного диплома (победителя или призера) заверяется председателем Оргкомитета соответствующего этапа олимпиады.</w:t>
      </w:r>
    </w:p>
    <w:p w:rsidR="00CB7E6F" w:rsidRDefault="00CB7E6F" w:rsidP="00CB7E6F">
      <w:r>
        <w:t xml:space="preserve">5. Для создания общероссийской базы муниципального этапа Всероссийской олимпиады школьников по химии председателям предметных методических комиссий соответствующих этапов олимпиады надлежит выслать задания и решения с указанием ответственного по составлению (ссылки на литературные источники обязательны) на электронный адрес заместителя председателя и (или) ответственного секретаря Центральной предметной методической комиссии Всероссийской олимпиады школьников по химии (Архангельская Ольга Валентиновна </w:t>
      </w:r>
      <w:r w:rsidR="00441D04">
        <w:t>olga.arkh@gmail.com</w:t>
      </w:r>
      <w:r>
        <w:t xml:space="preserve">, Долженко Владимир </w:t>
      </w:r>
      <w:r w:rsidR="00441D04">
        <w:t xml:space="preserve">Дмитриевич </w:t>
      </w:r>
      <w:r>
        <w:t>Doljenko_VD@inorg.chem.msu.ru).</w:t>
      </w:r>
    </w:p>
    <w:p w:rsidR="00CB7E6F" w:rsidRDefault="00CB7E6F" w:rsidP="00CB7E6F">
      <w:r>
        <w:t>6. Орган местного самоуправления, осуществляющий управление в сфере образования публикует результаты муниципального этапа на своем официальном сайте в сети "Интернет", в том числе протоколы жюри муниципального этапа олимпиады по каждому общеобразовательному предмету. Рекомендуется публиковать задания и решения муниципального этапа на сайте организатора.</w:t>
      </w:r>
    </w:p>
    <w:p w:rsidR="00CB7E6F" w:rsidRPr="00090A5C" w:rsidRDefault="00CB7E6F" w:rsidP="00A9057B"/>
    <w:p w:rsidR="00D80DB2" w:rsidRDefault="00D80DB2">
      <w:pPr>
        <w:spacing w:after="160" w:line="259" w:lineRule="auto"/>
        <w:ind w:firstLine="0"/>
        <w:jc w:val="left"/>
        <w:rPr>
          <w:rFonts w:eastAsiaTheme="majorEastAsia" w:cstheme="majorBidi"/>
          <w:b/>
          <w:color w:val="000000" w:themeColor="text1"/>
          <w:sz w:val="28"/>
          <w:szCs w:val="32"/>
        </w:rPr>
      </w:pPr>
      <w:r>
        <w:br w:type="page"/>
      </w:r>
    </w:p>
    <w:p w:rsidR="007B603F" w:rsidRDefault="007B603F" w:rsidP="007B603F">
      <w:pPr>
        <w:pStyle w:val="1"/>
      </w:pPr>
      <w:r>
        <w:t>Методика оценивания олимпиадных заданий</w:t>
      </w:r>
    </w:p>
    <w:p w:rsidR="007B603F" w:rsidRDefault="007B603F" w:rsidP="007B603F">
      <w:r>
        <w:t>Оценивание работ участников муниципального этапа Всероссийской олимпиады проводится согласно системе оценивания, разработанной предметной методической комиссией.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Важным условием объективности проверки является то, что одна пара членов жюри проверяет одно и то же задание.</w:t>
      </w:r>
    </w:p>
    <w:p w:rsidR="007B603F" w:rsidRDefault="007B603F" w:rsidP="007B603F">
      <w:r>
        <w:t xml:space="preserve">Члены жюри приступают к проверке </w:t>
      </w:r>
      <w:r w:rsidRPr="007B603F">
        <w:rPr>
          <w:u w:val="single"/>
        </w:rPr>
        <w:t>только после кодировки</w:t>
      </w:r>
      <w:r>
        <w:t xml:space="preserve"> работ.</w:t>
      </w:r>
    </w:p>
    <w:p w:rsidR="007B603F" w:rsidRDefault="007B603F" w:rsidP="007B603F">
      <w:r>
        <w:t xml:space="preserve">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 Исключением являются пункты, оговоренные в критериях оценивания. </w:t>
      </w:r>
      <w:r w:rsidRPr="000A2794">
        <w:rPr>
          <w:u w:val="single"/>
        </w:rPr>
        <w:t>Недопустимо</w:t>
      </w:r>
      <w:r>
        <w:t xml:space="preserve"> снижение баллов за неаккуратное оформление.</w:t>
      </w:r>
    </w:p>
    <w:p w:rsidR="007B603F" w:rsidRDefault="007B603F" w:rsidP="007B603F">
      <w:r>
        <w:t>Баллы могут начисляться также за оригинальное решение, отличное от решения, данного в сборнике заданий. При этом максимальный балл за решение не меняет</w:t>
      </w:r>
      <w:r w:rsidR="000A2794">
        <w:t>ся, а для нестандартного решения</w:t>
      </w:r>
      <w:r w:rsidR="000A2794">
        <w:rPr>
          <w:rStyle w:val="af2"/>
        </w:rPr>
        <w:footnoteReference w:id="1"/>
      </w:r>
      <w:r>
        <w:t xml:space="preserve"> членами жюри формируется своя система оценивания, по которой они </w:t>
      </w:r>
      <w:r w:rsidR="000A2794">
        <w:t xml:space="preserve">также </w:t>
      </w:r>
      <w:r>
        <w:t>проверяют остальных участников олимпиады.</w:t>
      </w:r>
    </w:p>
    <w:p w:rsidR="00F4090A" w:rsidRDefault="007B603F" w:rsidP="007B603F">
      <w:r>
        <w:t>Общая оценка результата участника олимпиады является арифметической суммой всех баллов, полученным им за задания всех туров олимпиады. Баллы за задания и общая сумма заносится членами жюри в ведомость и вместе с работами передаются на декодирование, а затем фиксируются в итоговой ведомости, по которой подводятся итоги олимпиады.</w:t>
      </w:r>
      <w:r w:rsidR="003A4C9E">
        <w:t xml:space="preserve"> При этом в итоговой ведомости должны содержаться не только итоговые баллы, но и баллы за каждую задачу из комплекта заданий.</w:t>
      </w:r>
    </w:p>
    <w:p w:rsidR="00633290" w:rsidRDefault="00633290" w:rsidP="00633290">
      <w:r>
        <w:br w:type="page"/>
      </w:r>
    </w:p>
    <w:p w:rsidR="00633290" w:rsidRDefault="00CB7E6F" w:rsidP="00CB7E6F">
      <w:pPr>
        <w:pStyle w:val="1"/>
      </w:pPr>
      <w:r>
        <w:t>Материально-техническое обеспечение для проведения олимпиады</w:t>
      </w:r>
    </w:p>
    <w:p w:rsidR="00CB7E6F" w:rsidRDefault="00CB7E6F" w:rsidP="00CB7E6F">
      <w:r>
        <w:t>Для тиражирования материалов необходима компьютерная техника, множительная техника (лазерные принтеры и копиры) и расходные материалы. Материа</w:t>
      </w:r>
      <w:r w:rsidR="00FD2970">
        <w:t>лы (условия и решения) следует р</w:t>
      </w:r>
      <w:r>
        <w:t>азмножать в расчете на каждого участника и каждое сопровождающее лицо.</w:t>
      </w:r>
      <w:r w:rsidR="00FD2970">
        <w:t xml:space="preserve"> Ответы на задания могут выдаваться обучающимся только после завершения олимпиады всеми участниками.</w:t>
      </w:r>
      <w:bookmarkStart w:id="0" w:name="_GoBack"/>
      <w:bookmarkEnd w:id="0"/>
    </w:p>
    <w:p w:rsidR="00CB7E6F" w:rsidRDefault="00CB7E6F" w:rsidP="00CB7E6F">
      <w:r>
        <w:t>Для каждого участника необходимо распечатать периодическую систему и таблицу растворимости (примеры в приложениях 1 и 2), условия.</w:t>
      </w:r>
    </w:p>
    <w:p w:rsidR="00CB7E6F" w:rsidRDefault="00CB7E6F" w:rsidP="00CB7E6F">
      <w:r>
        <w:t>Для выполнения заданий теоретического и экспериментального туров требуются проштампованные тетради в клетку/листы бумаги формата А4, небольшой запас ручек синего или черного цвета.</w:t>
      </w:r>
    </w:p>
    <w:p w:rsidR="00CB7E6F" w:rsidRPr="00CB7E6F" w:rsidRDefault="00CB7E6F" w:rsidP="00CB7E6F"/>
    <w:sectPr w:rsidR="00CB7E6F" w:rsidRPr="00CB7E6F" w:rsidSect="00CB7E6F">
      <w:headerReference w:type="default" r:id="rId8"/>
      <w:footerReference w:type="default" r:id="rId9"/>
      <w:foot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946" w:rsidRDefault="007D0946" w:rsidP="007D0946">
      <w:pPr>
        <w:spacing w:line="240" w:lineRule="auto"/>
      </w:pPr>
      <w:r>
        <w:separator/>
      </w:r>
    </w:p>
  </w:endnote>
  <w:endnote w:type="continuationSeparator" w:id="0">
    <w:p w:rsidR="007D0946" w:rsidRDefault="007D0946" w:rsidP="007D0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434029"/>
      <w:docPartObj>
        <w:docPartGallery w:val="Page Numbers (Bottom of Page)"/>
        <w:docPartUnique/>
      </w:docPartObj>
    </w:sdtPr>
    <w:sdtEndPr/>
    <w:sdtContent>
      <w:p w:rsidR="007D0946" w:rsidRDefault="007D0946">
        <w:pPr>
          <w:pStyle w:val="a7"/>
          <w:jc w:val="center"/>
        </w:pPr>
        <w:r>
          <w:fldChar w:fldCharType="begin"/>
        </w:r>
        <w:r>
          <w:instrText>PAGE   \* MERGEFORMAT</w:instrText>
        </w:r>
        <w:r>
          <w:fldChar w:fldCharType="separate"/>
        </w:r>
        <w:r w:rsidR="00FD2970">
          <w:rPr>
            <w:noProof/>
          </w:rPr>
          <w:t>7</w:t>
        </w:r>
        <w:r>
          <w:fldChar w:fldCharType="end"/>
        </w:r>
      </w:p>
    </w:sdtContent>
  </w:sdt>
  <w:p w:rsidR="007D0946" w:rsidRDefault="007D09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B6" w:rsidRDefault="009477B6" w:rsidP="009477B6">
    <w:pPr>
      <w:pStyle w:val="a7"/>
      <w:jc w:val="center"/>
    </w:pPr>
    <w:r>
      <w:t>Санкт-Петербург</w:t>
    </w:r>
  </w:p>
  <w:p w:rsidR="009477B6" w:rsidRDefault="0062482D" w:rsidP="009477B6">
    <w:pPr>
      <w:pStyle w:val="a7"/>
      <w:jc w:val="center"/>
    </w:pP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946" w:rsidRDefault="007D0946" w:rsidP="007D0946">
      <w:pPr>
        <w:spacing w:line="240" w:lineRule="auto"/>
      </w:pPr>
      <w:r>
        <w:separator/>
      </w:r>
    </w:p>
  </w:footnote>
  <w:footnote w:type="continuationSeparator" w:id="0">
    <w:p w:rsidR="007D0946" w:rsidRDefault="007D0946" w:rsidP="007D0946">
      <w:pPr>
        <w:spacing w:line="240" w:lineRule="auto"/>
      </w:pPr>
      <w:r>
        <w:continuationSeparator/>
      </w:r>
    </w:p>
  </w:footnote>
  <w:footnote w:id="1">
    <w:p w:rsidR="000A2794" w:rsidRPr="000A2794" w:rsidRDefault="000A2794" w:rsidP="000A2794">
      <w:pPr>
        <w:pStyle w:val="af0"/>
      </w:pPr>
      <w:r>
        <w:rPr>
          <w:rStyle w:val="af2"/>
        </w:rPr>
        <w:footnoteRef/>
      </w:r>
      <w:r>
        <w:t xml:space="preserve"> «Нестандартным решением» считается решение, значительно отличающееся от данного в решениях к заданиям, при этом оно более чем на 50</w:t>
      </w:r>
      <w:r w:rsidRPr="000A2794">
        <w:t>%</w:t>
      </w:r>
      <w:r>
        <w:t xml:space="preserve"> не содержит элементов</w:t>
      </w:r>
      <w:r w:rsidRPr="000A2794">
        <w:t xml:space="preserve"> </w:t>
      </w:r>
      <w:r>
        <w:t>оригинального решения. Например, если в решениях к заданию дано какое-либо выражение в общем виде, а обучающийся использует его в частном виде, то такое решение не считается нестандартным. Если нестандартный способ приводит к другому ответу, который также подходит по всем критериям к условию задачи, то обучающийся получает полный балл за решение. Необходимым условием для получения полного балла считаются ответы на все поставленные вопросы в задаче.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C1A" w:rsidRPr="00E94C1A" w:rsidRDefault="00E94C1A" w:rsidP="00E94C1A">
    <w:pPr>
      <w:pStyle w:val="a5"/>
      <w:jc w:val="right"/>
      <w:rPr>
        <w:b/>
        <w:i/>
      </w:rPr>
    </w:pPr>
    <w:r w:rsidRPr="00E94C1A">
      <w:rPr>
        <w:b/>
        <w:i/>
      </w:rPr>
      <w:t>Всероссийская олимпиада школьников по химии</w:t>
    </w:r>
  </w:p>
  <w:p w:rsidR="00E94C1A" w:rsidRPr="00E94C1A" w:rsidRDefault="00E94C1A" w:rsidP="00E94C1A">
    <w:pPr>
      <w:pStyle w:val="a5"/>
      <w:jc w:val="right"/>
      <w:rPr>
        <w:i/>
      </w:rPr>
    </w:pPr>
    <w:r w:rsidRPr="00E94C1A">
      <w:rPr>
        <w:i/>
      </w:rPr>
      <w:t>Муниципальный этап</w:t>
    </w:r>
  </w:p>
  <w:p w:rsidR="00E94C1A" w:rsidRPr="00E94C1A" w:rsidRDefault="0062482D" w:rsidP="00CF2EAE">
    <w:pPr>
      <w:pStyle w:val="a5"/>
      <w:pBdr>
        <w:bottom w:val="single" w:sz="4" w:space="1" w:color="auto"/>
      </w:pBdr>
      <w:jc w:val="right"/>
      <w:rPr>
        <w:i/>
      </w:rPr>
    </w:pPr>
    <w:r>
      <w:rPr>
        <w:i/>
      </w:rPr>
      <w:t>Ленинградская область, 2019</w:t>
    </w:r>
  </w:p>
  <w:p w:rsidR="00E94C1A" w:rsidRDefault="00E94C1A" w:rsidP="00E94C1A">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4A3C"/>
    <w:multiLevelType w:val="multilevel"/>
    <w:tmpl w:val="2878DCB2"/>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760BF6"/>
    <w:multiLevelType w:val="multilevel"/>
    <w:tmpl w:val="2A3CB4C6"/>
    <w:lvl w:ilvl="0">
      <w:start w:val="1"/>
      <w:numFmt w:val="decimal"/>
      <w:lvlText w:val="%1."/>
      <w:lvlJc w:val="left"/>
      <w:pPr>
        <w:ind w:left="1174" w:hanging="360"/>
      </w:pPr>
      <w:rPr>
        <w:b w:val="0"/>
        <w:vertAlign w:val="baseline"/>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2">
    <w:nsid w:val="08171719"/>
    <w:multiLevelType w:val="multilevel"/>
    <w:tmpl w:val="A088E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AA22460"/>
    <w:multiLevelType w:val="hybridMultilevel"/>
    <w:tmpl w:val="6AEC4AC4"/>
    <w:lvl w:ilvl="0" w:tplc="75A4940A">
      <w:start w:val="1"/>
      <w:numFmt w:val="decimal"/>
      <w:lvlText w:val="%1."/>
      <w:lvlJc w:val="left"/>
      <w:pPr>
        <w:ind w:left="1174" w:hanging="360"/>
      </w:pPr>
      <w:rPr>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A14DC"/>
    <w:multiLevelType w:val="hybridMultilevel"/>
    <w:tmpl w:val="87C06234"/>
    <w:lvl w:ilvl="0" w:tplc="0419000F">
      <w:start w:val="1"/>
      <w:numFmt w:val="decimal"/>
      <w:lvlText w:val="%1."/>
      <w:lvlJc w:val="left"/>
      <w:pPr>
        <w:ind w:left="502"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
    <w:nsid w:val="164A4AE3"/>
    <w:multiLevelType w:val="hybridMultilevel"/>
    <w:tmpl w:val="316EA1B0"/>
    <w:lvl w:ilvl="0" w:tplc="29EEDB2A">
      <w:start w:val="1"/>
      <w:numFmt w:val="decimal"/>
      <w:lvlText w:val="%1."/>
      <w:lvlJc w:val="left"/>
      <w:pPr>
        <w:ind w:left="1174" w:hanging="360"/>
      </w:pPr>
      <w:rPr>
        <w:vertAlign w:val="baseline"/>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6">
    <w:nsid w:val="19DF396E"/>
    <w:multiLevelType w:val="hybridMultilevel"/>
    <w:tmpl w:val="E5EE6F5C"/>
    <w:lvl w:ilvl="0" w:tplc="75A4940A">
      <w:start w:val="1"/>
      <w:numFmt w:val="decimal"/>
      <w:lvlText w:val="%1."/>
      <w:lvlJc w:val="left"/>
      <w:pPr>
        <w:ind w:left="644" w:hanging="360"/>
      </w:pPr>
      <w:rPr>
        <w:b w:val="0"/>
        <w:vertAlign w:val="baseline"/>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7">
    <w:nsid w:val="38846736"/>
    <w:multiLevelType w:val="hybridMultilevel"/>
    <w:tmpl w:val="76C49852"/>
    <w:lvl w:ilvl="0" w:tplc="29EEDB2A">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5F6163"/>
    <w:multiLevelType w:val="multilevel"/>
    <w:tmpl w:val="B6B02208"/>
    <w:lvl w:ilvl="0">
      <w:start w:val="1"/>
      <w:numFmt w:val="decimal"/>
      <w:lvlText w:val="%1."/>
      <w:lvlJc w:val="left"/>
      <w:pPr>
        <w:ind w:left="502"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9">
    <w:nsid w:val="624006F5"/>
    <w:multiLevelType w:val="hybridMultilevel"/>
    <w:tmpl w:val="CC52F466"/>
    <w:lvl w:ilvl="0" w:tplc="75A4940A">
      <w:start w:val="1"/>
      <w:numFmt w:val="decimal"/>
      <w:lvlText w:val="%1."/>
      <w:lvlJc w:val="left"/>
      <w:pPr>
        <w:ind w:left="1174" w:hanging="360"/>
      </w:pPr>
      <w:rPr>
        <w:b w:val="0"/>
        <w:vertAlign w:val="baseline"/>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4"/>
  </w:num>
  <w:num w:numId="2">
    <w:abstractNumId w:val="7"/>
  </w:num>
  <w:num w:numId="3">
    <w:abstractNumId w:val="5"/>
  </w:num>
  <w:num w:numId="4">
    <w:abstractNumId w:val="9"/>
  </w:num>
  <w:num w:numId="5">
    <w:abstractNumId w:val="2"/>
  </w:num>
  <w:num w:numId="6">
    <w:abstractNumId w:val="6"/>
  </w:num>
  <w:num w:numId="7">
    <w:abstractNumId w:val="3"/>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6E"/>
    <w:rsid w:val="000261BA"/>
    <w:rsid w:val="000464D7"/>
    <w:rsid w:val="00047581"/>
    <w:rsid w:val="000608D9"/>
    <w:rsid w:val="00060C52"/>
    <w:rsid w:val="00087D24"/>
    <w:rsid w:val="00090A5C"/>
    <w:rsid w:val="000A2794"/>
    <w:rsid w:val="000E1C91"/>
    <w:rsid w:val="000E211E"/>
    <w:rsid w:val="0011390C"/>
    <w:rsid w:val="002606E5"/>
    <w:rsid w:val="002A7C8F"/>
    <w:rsid w:val="002B6A18"/>
    <w:rsid w:val="003137B3"/>
    <w:rsid w:val="003203B0"/>
    <w:rsid w:val="003260B7"/>
    <w:rsid w:val="003657EF"/>
    <w:rsid w:val="003A4C9E"/>
    <w:rsid w:val="003B7844"/>
    <w:rsid w:val="004120D9"/>
    <w:rsid w:val="00414567"/>
    <w:rsid w:val="004321B2"/>
    <w:rsid w:val="00441D04"/>
    <w:rsid w:val="0047704A"/>
    <w:rsid w:val="00506272"/>
    <w:rsid w:val="005404E3"/>
    <w:rsid w:val="00543BA3"/>
    <w:rsid w:val="005501A2"/>
    <w:rsid w:val="00556227"/>
    <w:rsid w:val="005D7D92"/>
    <w:rsid w:val="0062482D"/>
    <w:rsid w:val="00633290"/>
    <w:rsid w:val="00635DAB"/>
    <w:rsid w:val="00647D34"/>
    <w:rsid w:val="0065260B"/>
    <w:rsid w:val="00655000"/>
    <w:rsid w:val="00661947"/>
    <w:rsid w:val="00671474"/>
    <w:rsid w:val="00697547"/>
    <w:rsid w:val="006B09F3"/>
    <w:rsid w:val="007049AA"/>
    <w:rsid w:val="00714614"/>
    <w:rsid w:val="007505D1"/>
    <w:rsid w:val="0075754D"/>
    <w:rsid w:val="007A25E1"/>
    <w:rsid w:val="007A70B4"/>
    <w:rsid w:val="007B603F"/>
    <w:rsid w:val="007D0946"/>
    <w:rsid w:val="007E34C9"/>
    <w:rsid w:val="007E59FC"/>
    <w:rsid w:val="00842A58"/>
    <w:rsid w:val="00843963"/>
    <w:rsid w:val="008C3F1C"/>
    <w:rsid w:val="008C59B3"/>
    <w:rsid w:val="008C6075"/>
    <w:rsid w:val="0090736E"/>
    <w:rsid w:val="00943A51"/>
    <w:rsid w:val="009477B6"/>
    <w:rsid w:val="00952789"/>
    <w:rsid w:val="00966800"/>
    <w:rsid w:val="009779CB"/>
    <w:rsid w:val="00990902"/>
    <w:rsid w:val="009D689F"/>
    <w:rsid w:val="009E6CC0"/>
    <w:rsid w:val="009F59DB"/>
    <w:rsid w:val="00A056B9"/>
    <w:rsid w:val="00A158EE"/>
    <w:rsid w:val="00A442B2"/>
    <w:rsid w:val="00A44EF2"/>
    <w:rsid w:val="00A467B9"/>
    <w:rsid w:val="00A81949"/>
    <w:rsid w:val="00A9057B"/>
    <w:rsid w:val="00A94014"/>
    <w:rsid w:val="00AA2297"/>
    <w:rsid w:val="00AC18AD"/>
    <w:rsid w:val="00AE70AC"/>
    <w:rsid w:val="00B01628"/>
    <w:rsid w:val="00B431A5"/>
    <w:rsid w:val="00B858B4"/>
    <w:rsid w:val="00B86ACB"/>
    <w:rsid w:val="00BA1739"/>
    <w:rsid w:val="00BD3FB0"/>
    <w:rsid w:val="00BF0F32"/>
    <w:rsid w:val="00C71569"/>
    <w:rsid w:val="00C84590"/>
    <w:rsid w:val="00CB7E6F"/>
    <w:rsid w:val="00CF2EAE"/>
    <w:rsid w:val="00D075D9"/>
    <w:rsid w:val="00D22F20"/>
    <w:rsid w:val="00D31844"/>
    <w:rsid w:val="00D36F2D"/>
    <w:rsid w:val="00D43273"/>
    <w:rsid w:val="00D47CA4"/>
    <w:rsid w:val="00D80DB2"/>
    <w:rsid w:val="00D82399"/>
    <w:rsid w:val="00DB068F"/>
    <w:rsid w:val="00DB7EBA"/>
    <w:rsid w:val="00DC09DA"/>
    <w:rsid w:val="00DD727B"/>
    <w:rsid w:val="00DE0CCD"/>
    <w:rsid w:val="00E40D6E"/>
    <w:rsid w:val="00E70C25"/>
    <w:rsid w:val="00E94C1A"/>
    <w:rsid w:val="00EB7AD3"/>
    <w:rsid w:val="00F20EE9"/>
    <w:rsid w:val="00F27706"/>
    <w:rsid w:val="00F4090A"/>
    <w:rsid w:val="00F566A9"/>
    <w:rsid w:val="00FD2970"/>
    <w:rsid w:val="00FF19F8"/>
    <w:rsid w:val="00FF5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0B675EA-B19D-437B-8C7D-9CDFA6F3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911"/>
    <w:pPr>
      <w:spacing w:after="0" w:line="360" w:lineRule="auto"/>
      <w:ind w:firstLine="720"/>
      <w:jc w:val="both"/>
    </w:pPr>
    <w:rPr>
      <w:rFonts w:ascii="Times New Roman" w:hAnsi="Times New Roman"/>
      <w:sz w:val="24"/>
    </w:rPr>
  </w:style>
  <w:style w:type="paragraph" w:styleId="1">
    <w:name w:val="heading 1"/>
    <w:basedOn w:val="a"/>
    <w:next w:val="a"/>
    <w:link w:val="10"/>
    <w:uiPriority w:val="9"/>
    <w:qFormat/>
    <w:rsid w:val="00CB7E6F"/>
    <w:pPr>
      <w:keepNext/>
      <w:keepLines/>
      <w:spacing w:after="200"/>
      <w:ind w:firstLine="0"/>
      <w:jc w:val="center"/>
      <w:outlineLvl w:val="0"/>
    </w:pPr>
    <w:rPr>
      <w:rFonts w:eastAsiaTheme="majorEastAsia"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E6F"/>
    <w:rPr>
      <w:rFonts w:ascii="Times New Roman" w:eastAsiaTheme="majorEastAsia" w:hAnsi="Times New Roman" w:cstheme="majorBidi"/>
      <w:b/>
      <w:color w:val="000000" w:themeColor="text1"/>
      <w:sz w:val="28"/>
      <w:szCs w:val="32"/>
    </w:rPr>
  </w:style>
  <w:style w:type="paragraph" w:styleId="a3">
    <w:name w:val="List Paragraph"/>
    <w:basedOn w:val="a"/>
    <w:uiPriority w:val="34"/>
    <w:qFormat/>
    <w:rsid w:val="00F4090A"/>
    <w:pPr>
      <w:ind w:left="720"/>
      <w:contextualSpacing/>
    </w:pPr>
  </w:style>
  <w:style w:type="character" w:styleId="a4">
    <w:name w:val="Placeholder Text"/>
    <w:basedOn w:val="a0"/>
    <w:uiPriority w:val="99"/>
    <w:semiHidden/>
    <w:rsid w:val="007049AA"/>
    <w:rPr>
      <w:color w:val="808080"/>
    </w:rPr>
  </w:style>
  <w:style w:type="paragraph" w:styleId="a5">
    <w:name w:val="header"/>
    <w:basedOn w:val="a"/>
    <w:link w:val="a6"/>
    <w:uiPriority w:val="99"/>
    <w:unhideWhenUsed/>
    <w:rsid w:val="007D0946"/>
    <w:pPr>
      <w:tabs>
        <w:tab w:val="center" w:pos="4677"/>
        <w:tab w:val="right" w:pos="9355"/>
      </w:tabs>
      <w:spacing w:line="240" w:lineRule="auto"/>
    </w:pPr>
  </w:style>
  <w:style w:type="character" w:customStyle="1" w:styleId="a6">
    <w:name w:val="Верхний колонтитул Знак"/>
    <w:basedOn w:val="a0"/>
    <w:link w:val="a5"/>
    <w:uiPriority w:val="99"/>
    <w:rsid w:val="007D0946"/>
    <w:rPr>
      <w:rFonts w:ascii="Times New Roman" w:hAnsi="Times New Roman"/>
      <w:sz w:val="24"/>
    </w:rPr>
  </w:style>
  <w:style w:type="paragraph" w:styleId="a7">
    <w:name w:val="footer"/>
    <w:basedOn w:val="a"/>
    <w:link w:val="a8"/>
    <w:uiPriority w:val="99"/>
    <w:unhideWhenUsed/>
    <w:rsid w:val="007D0946"/>
    <w:pPr>
      <w:tabs>
        <w:tab w:val="center" w:pos="4677"/>
        <w:tab w:val="right" w:pos="9355"/>
      </w:tabs>
      <w:spacing w:line="240" w:lineRule="auto"/>
    </w:pPr>
  </w:style>
  <w:style w:type="character" w:customStyle="1" w:styleId="a8">
    <w:name w:val="Нижний колонтитул Знак"/>
    <w:basedOn w:val="a0"/>
    <w:link w:val="a7"/>
    <w:uiPriority w:val="99"/>
    <w:rsid w:val="007D0946"/>
    <w:rPr>
      <w:rFonts w:ascii="Times New Roman" w:hAnsi="Times New Roman"/>
      <w:sz w:val="24"/>
    </w:rPr>
  </w:style>
  <w:style w:type="character" w:styleId="a9">
    <w:name w:val="annotation reference"/>
    <w:basedOn w:val="a0"/>
    <w:uiPriority w:val="99"/>
    <w:semiHidden/>
    <w:unhideWhenUsed/>
    <w:rsid w:val="00843963"/>
    <w:rPr>
      <w:sz w:val="16"/>
      <w:szCs w:val="16"/>
    </w:rPr>
  </w:style>
  <w:style w:type="paragraph" w:styleId="aa">
    <w:name w:val="annotation text"/>
    <w:basedOn w:val="a"/>
    <w:link w:val="ab"/>
    <w:uiPriority w:val="99"/>
    <w:semiHidden/>
    <w:unhideWhenUsed/>
    <w:rsid w:val="00843963"/>
    <w:pPr>
      <w:spacing w:line="240" w:lineRule="auto"/>
    </w:pPr>
    <w:rPr>
      <w:sz w:val="20"/>
      <w:szCs w:val="20"/>
    </w:rPr>
  </w:style>
  <w:style w:type="character" w:customStyle="1" w:styleId="ab">
    <w:name w:val="Текст примечания Знак"/>
    <w:basedOn w:val="a0"/>
    <w:link w:val="aa"/>
    <w:uiPriority w:val="99"/>
    <w:semiHidden/>
    <w:rsid w:val="00843963"/>
    <w:rPr>
      <w:rFonts w:ascii="Times New Roman" w:hAnsi="Times New Roman"/>
      <w:sz w:val="20"/>
      <w:szCs w:val="20"/>
    </w:rPr>
  </w:style>
  <w:style w:type="paragraph" w:styleId="ac">
    <w:name w:val="annotation subject"/>
    <w:basedOn w:val="aa"/>
    <w:next w:val="aa"/>
    <w:link w:val="ad"/>
    <w:uiPriority w:val="99"/>
    <w:semiHidden/>
    <w:unhideWhenUsed/>
    <w:rsid w:val="00843963"/>
    <w:rPr>
      <w:b/>
      <w:bCs/>
    </w:rPr>
  </w:style>
  <w:style w:type="character" w:customStyle="1" w:styleId="ad">
    <w:name w:val="Тема примечания Знак"/>
    <w:basedOn w:val="ab"/>
    <w:link w:val="ac"/>
    <w:uiPriority w:val="99"/>
    <w:semiHidden/>
    <w:rsid w:val="00843963"/>
    <w:rPr>
      <w:rFonts w:ascii="Times New Roman" w:hAnsi="Times New Roman"/>
      <w:b/>
      <w:bCs/>
      <w:sz w:val="20"/>
      <w:szCs w:val="20"/>
    </w:rPr>
  </w:style>
  <w:style w:type="paragraph" w:styleId="ae">
    <w:name w:val="Balloon Text"/>
    <w:basedOn w:val="a"/>
    <w:link w:val="af"/>
    <w:uiPriority w:val="99"/>
    <w:semiHidden/>
    <w:unhideWhenUsed/>
    <w:rsid w:val="00843963"/>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43963"/>
    <w:rPr>
      <w:rFonts w:ascii="Segoe UI" w:hAnsi="Segoe UI" w:cs="Segoe UI"/>
      <w:sz w:val="18"/>
      <w:szCs w:val="18"/>
    </w:rPr>
  </w:style>
  <w:style w:type="paragraph" w:styleId="af0">
    <w:name w:val="footnote text"/>
    <w:basedOn w:val="a"/>
    <w:link w:val="af1"/>
    <w:uiPriority w:val="99"/>
    <w:semiHidden/>
    <w:unhideWhenUsed/>
    <w:rsid w:val="00843963"/>
    <w:pPr>
      <w:spacing w:line="240" w:lineRule="auto"/>
    </w:pPr>
    <w:rPr>
      <w:sz w:val="20"/>
      <w:szCs w:val="20"/>
    </w:rPr>
  </w:style>
  <w:style w:type="character" w:customStyle="1" w:styleId="af1">
    <w:name w:val="Текст сноски Знак"/>
    <w:basedOn w:val="a0"/>
    <w:link w:val="af0"/>
    <w:uiPriority w:val="99"/>
    <w:semiHidden/>
    <w:rsid w:val="00843963"/>
    <w:rPr>
      <w:rFonts w:ascii="Times New Roman" w:hAnsi="Times New Roman"/>
      <w:sz w:val="20"/>
      <w:szCs w:val="20"/>
    </w:rPr>
  </w:style>
  <w:style w:type="character" w:styleId="af2">
    <w:name w:val="footnote reference"/>
    <w:basedOn w:val="a0"/>
    <w:uiPriority w:val="99"/>
    <w:semiHidden/>
    <w:unhideWhenUsed/>
    <w:rsid w:val="00843963"/>
    <w:rPr>
      <w:vertAlign w:val="superscript"/>
    </w:rPr>
  </w:style>
  <w:style w:type="table" w:styleId="af3">
    <w:name w:val="Table Grid"/>
    <w:basedOn w:val="a1"/>
    <w:uiPriority w:val="39"/>
    <w:rsid w:val="00A44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CB7E6F"/>
    <w:pPr>
      <w:spacing w:after="0" w:line="240" w:lineRule="auto"/>
      <w:ind w:firstLine="72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FAD2-6958-49D9-8831-4B12F4C6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Хек</dc:creator>
  <cp:keywords/>
  <dc:description/>
  <cp:lastModifiedBy>Хек</cp:lastModifiedBy>
  <cp:revision>37</cp:revision>
  <dcterms:created xsi:type="dcterms:W3CDTF">2018-08-22T15:20:00Z</dcterms:created>
  <dcterms:modified xsi:type="dcterms:W3CDTF">2019-10-07T11:00:00Z</dcterms:modified>
</cp:coreProperties>
</file>